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9814" w14:textId="77777777" w:rsidR="00824144" w:rsidRDefault="00824144" w:rsidP="00001D4F">
      <w:pPr>
        <w:jc w:val="center"/>
        <w:rPr>
          <w:b/>
          <w:sz w:val="36"/>
        </w:rPr>
      </w:pPr>
    </w:p>
    <w:p w14:paraId="0437F7EF" w14:textId="77777777" w:rsidR="00A5213A" w:rsidRDefault="008A0E0B" w:rsidP="00001D4F">
      <w:pPr>
        <w:jc w:val="center"/>
      </w:pPr>
      <w:proofErr w:type="spellStart"/>
      <w:r>
        <w:rPr>
          <w:b/>
          <w:sz w:val="36"/>
        </w:rPr>
        <w:t>Cosmofarma</w:t>
      </w:r>
      <w:proofErr w:type="spellEnd"/>
    </w:p>
    <w:p w14:paraId="722F35EE" w14:textId="77777777" w:rsidR="001C0B1C" w:rsidRPr="001C0B1C" w:rsidRDefault="00387BA6" w:rsidP="001C0B1C">
      <w:pPr>
        <w:jc w:val="center"/>
      </w:pPr>
      <w:r>
        <w:t>2024. április 19-21</w:t>
      </w:r>
      <w:r w:rsidR="00824144">
        <w:t>.</w:t>
      </w:r>
    </w:p>
    <w:p w14:paraId="1834EED0" w14:textId="77777777" w:rsidR="004B38B5" w:rsidRDefault="004B38B5" w:rsidP="001C0B1C">
      <w:pPr>
        <w:jc w:val="center"/>
      </w:pPr>
      <w:r>
        <w:t xml:space="preserve">Helyszín: </w:t>
      </w:r>
      <w:r w:rsidR="00D16420">
        <w:t>Bologna</w:t>
      </w:r>
    </w:p>
    <w:p w14:paraId="41BA6513" w14:textId="77777777" w:rsidR="00D16420" w:rsidRDefault="00D16420" w:rsidP="001C0B1C">
      <w:pPr>
        <w:jc w:val="center"/>
      </w:pPr>
    </w:p>
    <w:p w14:paraId="26C456A1" w14:textId="77777777" w:rsidR="00F609B8" w:rsidRDefault="008F7DC2" w:rsidP="001C0B1C">
      <w:pPr>
        <w:jc w:val="center"/>
      </w:pPr>
      <w:hyperlink r:id="rId5" w:history="1">
        <w:r w:rsidR="00824144" w:rsidRPr="00BF6333">
          <w:rPr>
            <w:rStyle w:val="Hiperhivatkozs"/>
          </w:rPr>
          <w:t>https://www.cosmofarma.com/en/</w:t>
        </w:r>
      </w:hyperlink>
    </w:p>
    <w:p w14:paraId="553C3854" w14:textId="77777777" w:rsidR="00824144" w:rsidRDefault="00824144" w:rsidP="001C0B1C">
      <w:pPr>
        <w:jc w:val="center"/>
      </w:pPr>
    </w:p>
    <w:p w14:paraId="0249C031" w14:textId="77777777" w:rsidR="00FB4F3E" w:rsidRDefault="00FB4F3E" w:rsidP="00D16420">
      <w:pPr>
        <w:jc w:val="both"/>
        <w:rPr>
          <w:rFonts w:eastAsia="Times New Roman"/>
          <w:color w:val="000000"/>
        </w:rPr>
      </w:pPr>
      <w:r w:rsidRPr="00D16420">
        <w:rPr>
          <w:rFonts w:eastAsia="Times New Roman"/>
          <w:color w:val="000000"/>
        </w:rPr>
        <w:t xml:space="preserve">A </w:t>
      </w:r>
      <w:proofErr w:type="spellStart"/>
      <w:r w:rsidRPr="00D16420">
        <w:rPr>
          <w:rFonts w:eastAsia="Times New Roman"/>
          <w:color w:val="000000"/>
        </w:rPr>
        <w:t>Cosmofarma</w:t>
      </w:r>
      <w:proofErr w:type="spellEnd"/>
      <w:r w:rsidRPr="00D16420">
        <w:rPr>
          <w:rFonts w:eastAsia="Times New Roman"/>
          <w:color w:val="000000"/>
        </w:rPr>
        <w:t xml:space="preserve"> Európa egyik vezető gyógyszer</w:t>
      </w:r>
      <w:r w:rsidR="00FA67AD">
        <w:rPr>
          <w:rFonts w:eastAsia="Times New Roman"/>
          <w:color w:val="000000"/>
        </w:rPr>
        <w:t>ipari</w:t>
      </w:r>
      <w:r w:rsidRPr="00D16420">
        <w:rPr>
          <w:rFonts w:eastAsia="Times New Roman"/>
          <w:color w:val="000000"/>
        </w:rPr>
        <w:t xml:space="preserve"> kiállítása, am</w:t>
      </w:r>
      <w:r w:rsidR="0006081C">
        <w:rPr>
          <w:rFonts w:eastAsia="Times New Roman"/>
          <w:color w:val="000000"/>
        </w:rPr>
        <w:t>ely</w:t>
      </w:r>
      <w:r w:rsidR="00FA67AD">
        <w:rPr>
          <w:rFonts w:eastAsia="Times New Roman"/>
          <w:color w:val="000000"/>
        </w:rPr>
        <w:t xml:space="preserve"> több mint 400 kiállítóval, 26 ezer </w:t>
      </w:r>
      <w:r w:rsidR="0091411B" w:rsidRPr="00D16420">
        <w:rPr>
          <w:rFonts w:eastAsia="Times New Roman"/>
          <w:color w:val="000000"/>
        </w:rPr>
        <w:t xml:space="preserve">résztvevővel, valamint </w:t>
      </w:r>
      <w:r w:rsidR="0006081C">
        <w:rPr>
          <w:rFonts w:eastAsia="Times New Roman"/>
          <w:color w:val="000000"/>
        </w:rPr>
        <w:t xml:space="preserve">közel 100 </w:t>
      </w:r>
      <w:r w:rsidRPr="00D16420">
        <w:rPr>
          <w:rFonts w:eastAsia="Times New Roman"/>
          <w:color w:val="000000"/>
        </w:rPr>
        <w:t>szakmai előadáss</w:t>
      </w:r>
      <w:r w:rsidR="0091411B" w:rsidRPr="00D16420">
        <w:rPr>
          <w:rFonts w:eastAsia="Times New Roman"/>
          <w:color w:val="000000"/>
        </w:rPr>
        <w:t>al biztosít lehetőséget az</w:t>
      </w:r>
      <w:r w:rsidR="0006081C">
        <w:rPr>
          <w:rFonts w:eastAsia="Times New Roman"/>
          <w:color w:val="000000"/>
        </w:rPr>
        <w:t xml:space="preserve"> iparág legújabb tendenciáinak és </w:t>
      </w:r>
      <w:r w:rsidR="0091411B" w:rsidRPr="00D16420">
        <w:rPr>
          <w:rFonts w:eastAsia="Times New Roman"/>
          <w:color w:val="000000"/>
        </w:rPr>
        <w:t>lehetőségeinek megismerésére,</w:t>
      </w:r>
      <w:r w:rsidR="0006081C">
        <w:rPr>
          <w:rFonts w:eastAsia="Times New Roman"/>
          <w:color w:val="000000"/>
        </w:rPr>
        <w:t xml:space="preserve"> </w:t>
      </w:r>
      <w:r w:rsidR="00387BA6">
        <w:rPr>
          <w:rFonts w:eastAsia="Times New Roman"/>
          <w:color w:val="000000"/>
        </w:rPr>
        <w:t xml:space="preserve">illetve </w:t>
      </w:r>
      <w:r w:rsidR="0091411B" w:rsidRPr="00D16420">
        <w:rPr>
          <w:rFonts w:eastAsia="Times New Roman"/>
          <w:color w:val="000000"/>
        </w:rPr>
        <w:t>üzletfejlesztésre</w:t>
      </w:r>
      <w:r w:rsidR="00387BA6">
        <w:rPr>
          <w:rFonts w:eastAsia="Times New Roman"/>
          <w:color w:val="000000"/>
        </w:rPr>
        <w:t xml:space="preserve"> és </w:t>
      </w:r>
      <w:r w:rsidR="0091411B" w:rsidRPr="00D16420">
        <w:rPr>
          <w:rFonts w:eastAsia="Times New Roman"/>
          <w:color w:val="000000"/>
        </w:rPr>
        <w:t>kapcsol</w:t>
      </w:r>
      <w:r w:rsidR="00D16420" w:rsidRPr="00D16420">
        <w:rPr>
          <w:rFonts w:eastAsia="Times New Roman"/>
          <w:color w:val="000000"/>
        </w:rPr>
        <w:t>a</w:t>
      </w:r>
      <w:r w:rsidR="0091411B" w:rsidRPr="00D16420">
        <w:rPr>
          <w:rFonts w:eastAsia="Times New Roman"/>
          <w:color w:val="000000"/>
        </w:rPr>
        <w:t>tépítésre.</w:t>
      </w:r>
    </w:p>
    <w:p w14:paraId="625ECAD3" w14:textId="77777777" w:rsidR="00F66C8F" w:rsidRPr="00D16420" w:rsidRDefault="00F66C8F" w:rsidP="00D16420">
      <w:pPr>
        <w:jc w:val="both"/>
        <w:rPr>
          <w:rFonts w:eastAsia="Times New Roman"/>
          <w:color w:val="000000"/>
        </w:rPr>
      </w:pPr>
    </w:p>
    <w:p w14:paraId="6997F53E" w14:textId="77777777" w:rsidR="00D16420" w:rsidRPr="00D16420" w:rsidRDefault="00D16420" w:rsidP="00D16420">
      <w:pPr>
        <w:spacing w:before="120" w:after="120"/>
        <w:jc w:val="both"/>
        <w:rPr>
          <w:b/>
        </w:rPr>
      </w:pPr>
      <w:r w:rsidRPr="00D16420">
        <w:rPr>
          <w:b/>
        </w:rPr>
        <w:t>Kiemelet szektorok:</w:t>
      </w:r>
    </w:p>
    <w:p w14:paraId="05A82E48" w14:textId="77777777" w:rsidR="00D16420" w:rsidRPr="00D16420" w:rsidRDefault="00D16420" w:rsidP="00D16420">
      <w:pPr>
        <w:pStyle w:val="Listaszerbekezds"/>
        <w:numPr>
          <w:ilvl w:val="0"/>
          <w:numId w:val="4"/>
        </w:numPr>
        <w:rPr>
          <w:rFonts w:eastAsia="Times New Roman"/>
          <w:color w:val="000000"/>
        </w:rPr>
      </w:pPr>
      <w:r w:rsidRPr="00D16420">
        <w:rPr>
          <w:rFonts w:eastAsia="Times New Roman"/>
          <w:color w:val="000000"/>
        </w:rPr>
        <w:t>hagyományos és természetes gyógyászat</w:t>
      </w:r>
    </w:p>
    <w:p w14:paraId="20044312" w14:textId="77777777" w:rsidR="00D16420" w:rsidRPr="00D16420" w:rsidRDefault="00D16420" w:rsidP="00D16420">
      <w:pPr>
        <w:pStyle w:val="Listaszerbekezds"/>
        <w:numPr>
          <w:ilvl w:val="0"/>
          <w:numId w:val="4"/>
        </w:numPr>
        <w:rPr>
          <w:rFonts w:eastAsia="Times New Roman"/>
          <w:color w:val="000000"/>
        </w:rPr>
      </w:pPr>
      <w:r w:rsidRPr="00D16420">
        <w:rPr>
          <w:rFonts w:eastAsia="Times New Roman"/>
          <w:color w:val="000000"/>
        </w:rPr>
        <w:t>táplálékkiegészítők</w:t>
      </w:r>
    </w:p>
    <w:p w14:paraId="5E8DC4E1" w14:textId="77777777" w:rsidR="00D16420" w:rsidRPr="00D16420" w:rsidRDefault="00D16420" w:rsidP="00D16420">
      <w:pPr>
        <w:pStyle w:val="Listaszerbekezds"/>
        <w:numPr>
          <w:ilvl w:val="0"/>
          <w:numId w:val="4"/>
        </w:numPr>
        <w:rPr>
          <w:rFonts w:eastAsia="Times New Roman"/>
          <w:color w:val="000000"/>
        </w:rPr>
      </w:pPr>
      <w:r w:rsidRPr="00D16420">
        <w:rPr>
          <w:rFonts w:eastAsia="Times New Roman"/>
          <w:color w:val="000000"/>
        </w:rPr>
        <w:t>szépségápolás</w:t>
      </w:r>
    </w:p>
    <w:p w14:paraId="7FC6E68B" w14:textId="77777777" w:rsidR="00D16420" w:rsidRPr="00D16420" w:rsidRDefault="00D16420" w:rsidP="00D16420">
      <w:pPr>
        <w:pStyle w:val="Listaszerbekezds"/>
        <w:numPr>
          <w:ilvl w:val="0"/>
          <w:numId w:val="4"/>
        </w:numPr>
        <w:rPr>
          <w:rFonts w:eastAsia="Times New Roman"/>
          <w:color w:val="000000"/>
        </w:rPr>
      </w:pPr>
      <w:r w:rsidRPr="00D16420">
        <w:rPr>
          <w:rFonts w:eastAsia="Times New Roman"/>
          <w:color w:val="000000"/>
        </w:rPr>
        <w:t>gyógyszertári szolgáltatások</w:t>
      </w:r>
    </w:p>
    <w:p w14:paraId="0C87578A" w14:textId="77777777" w:rsidR="005B58CE" w:rsidRDefault="005B58CE" w:rsidP="00A3288E">
      <w:pPr>
        <w:spacing w:before="120" w:after="120"/>
        <w:jc w:val="both"/>
        <w:rPr>
          <w:b/>
        </w:rPr>
      </w:pPr>
    </w:p>
    <w:p w14:paraId="3F35F21E" w14:textId="77777777" w:rsidR="00A3288E" w:rsidRPr="00116581" w:rsidRDefault="00134939" w:rsidP="00A3288E">
      <w:pPr>
        <w:spacing w:before="120" w:after="120"/>
        <w:jc w:val="both"/>
        <w:rPr>
          <w:b/>
        </w:rPr>
      </w:pPr>
      <w:r w:rsidRPr="00116581">
        <w:rPr>
          <w:b/>
        </w:rPr>
        <w:t>Részvételi díj:</w:t>
      </w:r>
    </w:p>
    <w:p w14:paraId="13965074" w14:textId="77777777" w:rsidR="00116581" w:rsidRDefault="0039057E" w:rsidP="00116581">
      <w:pPr>
        <w:contextualSpacing/>
        <w:jc w:val="both"/>
        <w:rPr>
          <w:bCs/>
        </w:rPr>
      </w:pPr>
      <w:r w:rsidRPr="00116581">
        <w:rPr>
          <w:bCs/>
        </w:rPr>
        <w:t>Kiállítók számára</w:t>
      </w:r>
      <w:r w:rsidR="00387BA6">
        <w:rPr>
          <w:bCs/>
        </w:rPr>
        <w:t>:</w:t>
      </w:r>
    </w:p>
    <w:p w14:paraId="089926AB" w14:textId="77777777" w:rsidR="0047740A" w:rsidRPr="00116581" w:rsidRDefault="00116581" w:rsidP="00387BA6">
      <w:pPr>
        <w:pStyle w:val="Listaszerbekezds"/>
        <w:numPr>
          <w:ilvl w:val="0"/>
          <w:numId w:val="7"/>
        </w:numPr>
        <w:contextualSpacing/>
        <w:jc w:val="both"/>
      </w:pPr>
      <w:r w:rsidRPr="00387BA6">
        <w:rPr>
          <w:bCs/>
        </w:rPr>
        <w:t>M</w:t>
      </w:r>
      <w:r w:rsidR="00481300" w:rsidRPr="00387BA6">
        <w:rPr>
          <w:bCs/>
        </w:rPr>
        <w:t>inimum</w:t>
      </w:r>
      <w:r w:rsidR="0047740A" w:rsidRPr="00387BA6">
        <w:rPr>
          <w:bCs/>
        </w:rPr>
        <w:t xml:space="preserve"> standméret </w:t>
      </w:r>
      <w:r w:rsidR="00481300" w:rsidRPr="00387BA6">
        <w:rPr>
          <w:bCs/>
        </w:rPr>
        <w:t>16 m</w:t>
      </w:r>
      <w:r w:rsidR="00481300" w:rsidRPr="00387BA6">
        <w:rPr>
          <w:bCs/>
          <w:vertAlign w:val="superscript"/>
        </w:rPr>
        <w:t>2</w:t>
      </w:r>
      <w:r w:rsidR="0047740A" w:rsidRPr="00387BA6">
        <w:rPr>
          <w:bCs/>
        </w:rPr>
        <w:t xml:space="preserve">, </w:t>
      </w:r>
      <w:r w:rsidR="00CD66B6" w:rsidRPr="00387BA6">
        <w:rPr>
          <w:bCs/>
        </w:rPr>
        <w:t>a stand díja</w:t>
      </w:r>
      <w:r w:rsidR="00481300" w:rsidRPr="00387BA6">
        <w:rPr>
          <w:bCs/>
        </w:rPr>
        <w:t xml:space="preserve"> 6.</w:t>
      </w:r>
      <w:r w:rsidR="005B58CE" w:rsidRPr="00387BA6">
        <w:rPr>
          <w:bCs/>
        </w:rPr>
        <w:t>0</w:t>
      </w:r>
      <w:r w:rsidR="0047740A" w:rsidRPr="00387BA6">
        <w:rPr>
          <w:bCs/>
        </w:rPr>
        <w:t>00 e</w:t>
      </w:r>
      <w:r w:rsidR="00481300" w:rsidRPr="00387BA6">
        <w:rPr>
          <w:bCs/>
        </w:rPr>
        <w:t>uró (berendezve)</w:t>
      </w:r>
    </w:p>
    <w:p w14:paraId="766D2E42" w14:textId="77777777" w:rsidR="005B58CE" w:rsidRPr="00387BA6" w:rsidRDefault="00116581" w:rsidP="00387BA6">
      <w:pPr>
        <w:pStyle w:val="Listaszerbekezds"/>
        <w:numPr>
          <w:ilvl w:val="0"/>
          <w:numId w:val="7"/>
        </w:numPr>
        <w:contextualSpacing/>
        <w:jc w:val="both"/>
        <w:rPr>
          <w:rFonts w:eastAsia="Times New Roman"/>
        </w:rPr>
      </w:pPr>
      <w:r w:rsidRPr="00387BA6">
        <w:rPr>
          <w:rFonts w:eastAsia="Times New Roman"/>
        </w:rPr>
        <w:t>L</w:t>
      </w:r>
      <w:r w:rsidR="0047740A" w:rsidRPr="00387BA6">
        <w:rPr>
          <w:rFonts w:eastAsia="Times New Roman"/>
        </w:rPr>
        <w:t>ehetőség van akár két cég számára i</w:t>
      </w:r>
      <w:r w:rsidR="005B58CE" w:rsidRPr="00387BA6">
        <w:rPr>
          <w:rFonts w:eastAsia="Times New Roman"/>
        </w:rPr>
        <w:t>s kiállít</w:t>
      </w:r>
      <w:r w:rsidR="0047740A" w:rsidRPr="00387BA6">
        <w:rPr>
          <w:rFonts w:eastAsia="Times New Roman"/>
        </w:rPr>
        <w:t>ani,</w:t>
      </w:r>
      <w:r w:rsidR="005B58CE" w:rsidRPr="00387BA6">
        <w:rPr>
          <w:rFonts w:eastAsia="Times New Roman"/>
        </w:rPr>
        <w:t xml:space="preserve"> ebben az esetben a minimum </w:t>
      </w:r>
      <w:r w:rsidR="0047740A" w:rsidRPr="00387BA6">
        <w:rPr>
          <w:rFonts w:eastAsia="Times New Roman"/>
        </w:rPr>
        <w:t xml:space="preserve">standméret </w:t>
      </w:r>
      <w:r w:rsidR="005B58CE" w:rsidRPr="00387BA6">
        <w:rPr>
          <w:rFonts w:eastAsia="Times New Roman"/>
        </w:rPr>
        <w:t>24 m2</w:t>
      </w:r>
      <w:r w:rsidRPr="00387BA6">
        <w:rPr>
          <w:rFonts w:eastAsia="Times New Roman"/>
        </w:rPr>
        <w:t>, ára 6.200 euró; a</w:t>
      </w:r>
      <w:r w:rsidR="005B58CE" w:rsidRPr="00387BA6">
        <w:rPr>
          <w:rFonts w:eastAsia="Times New Roman"/>
        </w:rPr>
        <w:t xml:space="preserve"> társkiállító cég </w:t>
      </w:r>
      <w:r w:rsidRPr="00387BA6">
        <w:rPr>
          <w:rFonts w:eastAsia="Times New Roman"/>
        </w:rPr>
        <w:t xml:space="preserve">számára </w:t>
      </w:r>
      <w:r w:rsidR="005B58CE" w:rsidRPr="00387BA6">
        <w:rPr>
          <w:rFonts w:eastAsia="Times New Roman"/>
        </w:rPr>
        <w:t>+ 1</w:t>
      </w:r>
      <w:r w:rsidR="0047740A" w:rsidRPr="00387BA6">
        <w:rPr>
          <w:rFonts w:eastAsia="Times New Roman"/>
        </w:rPr>
        <w:t>.</w:t>
      </w:r>
      <w:r w:rsidR="005B58CE" w:rsidRPr="00387BA6">
        <w:rPr>
          <w:rFonts w:eastAsia="Times New Roman"/>
        </w:rPr>
        <w:t>000 euró</w:t>
      </w:r>
      <w:r w:rsidRPr="00387BA6">
        <w:rPr>
          <w:rFonts w:eastAsia="Times New Roman"/>
        </w:rPr>
        <w:t xml:space="preserve"> a</w:t>
      </w:r>
      <w:r w:rsidR="005B58CE" w:rsidRPr="00387BA6">
        <w:rPr>
          <w:rFonts w:eastAsia="Times New Roman"/>
        </w:rPr>
        <w:t xml:space="preserve"> regisztrációs díj</w:t>
      </w:r>
    </w:p>
    <w:p w14:paraId="55948666" w14:textId="77777777" w:rsidR="005B58CE" w:rsidRPr="0047740A" w:rsidRDefault="005B58CE" w:rsidP="00387BA6">
      <w:pPr>
        <w:contextualSpacing/>
        <w:jc w:val="both"/>
      </w:pPr>
    </w:p>
    <w:p w14:paraId="3DF4CA9A" w14:textId="77777777" w:rsidR="004F6BD4" w:rsidRPr="00116581" w:rsidRDefault="0039057E" w:rsidP="00116581">
      <w:pPr>
        <w:contextualSpacing/>
        <w:jc w:val="both"/>
      </w:pPr>
      <w:r w:rsidRPr="00116581">
        <w:rPr>
          <w:bCs/>
        </w:rPr>
        <w:t>Látogatók számára</w:t>
      </w:r>
      <w:r w:rsidR="00CD66B6">
        <w:rPr>
          <w:bCs/>
        </w:rPr>
        <w:t xml:space="preserve"> a b</w:t>
      </w:r>
      <w:r w:rsidR="00116581">
        <w:t xml:space="preserve">elépő díja: </w:t>
      </w:r>
      <w:r w:rsidR="00383E09" w:rsidRPr="00116581">
        <w:t>30 Euró/</w:t>
      </w:r>
      <w:r w:rsidR="004F6BD4" w:rsidRPr="00116581">
        <w:t>nap</w:t>
      </w:r>
    </w:p>
    <w:p w14:paraId="730D3DB9" w14:textId="77777777" w:rsidR="00243CF1" w:rsidRDefault="00243CF1" w:rsidP="00243CF1">
      <w:pPr>
        <w:contextualSpacing/>
        <w:jc w:val="both"/>
        <w:rPr>
          <w:sz w:val="22"/>
          <w:szCs w:val="22"/>
        </w:rPr>
      </w:pPr>
    </w:p>
    <w:p w14:paraId="5E05E2DB" w14:textId="77777777" w:rsidR="00243CF1" w:rsidRDefault="00243CF1" w:rsidP="00387BA6">
      <w:pPr>
        <w:spacing w:before="120" w:after="120"/>
        <w:jc w:val="both"/>
      </w:pPr>
      <w:r w:rsidRPr="00387BA6">
        <w:rPr>
          <w:b/>
        </w:rPr>
        <w:t>202</w:t>
      </w:r>
      <w:r w:rsidR="00116581" w:rsidRPr="00387BA6">
        <w:rPr>
          <w:b/>
        </w:rPr>
        <w:t>3</w:t>
      </w:r>
      <w:r w:rsidRPr="00387BA6">
        <w:rPr>
          <w:b/>
        </w:rPr>
        <w:t>-</w:t>
      </w:r>
      <w:r w:rsidR="00116581" w:rsidRPr="00387BA6">
        <w:rPr>
          <w:b/>
        </w:rPr>
        <w:t>a</w:t>
      </w:r>
      <w:r w:rsidRPr="00387BA6">
        <w:rPr>
          <w:b/>
        </w:rPr>
        <w:t>s vásár résztvevői:</w:t>
      </w:r>
      <w:r w:rsidR="00387BA6">
        <w:rPr>
          <w:b/>
        </w:rPr>
        <w:t xml:space="preserve"> </w:t>
      </w:r>
      <w:hyperlink r:id="rId6" w:history="1">
        <w:r w:rsidR="00116581" w:rsidRPr="00BF6333">
          <w:rPr>
            <w:rStyle w:val="Hiperhivatkozs"/>
          </w:rPr>
          <w:t>https://eventi.senaf.it/preview-espositori.php?ide=1208</w:t>
        </w:r>
      </w:hyperlink>
    </w:p>
    <w:p w14:paraId="22DCE71E" w14:textId="77777777" w:rsidR="00116581" w:rsidRDefault="00116581" w:rsidP="00787B78">
      <w:pPr>
        <w:jc w:val="both"/>
      </w:pPr>
    </w:p>
    <w:p w14:paraId="0F9B3188" w14:textId="77777777" w:rsidR="00FE700E" w:rsidRDefault="00FE700E" w:rsidP="00FE700E">
      <w:pPr>
        <w:jc w:val="both"/>
      </w:pPr>
      <w:r>
        <w:t>Amennyiben a lehetőség felkeltette érdeklődésüket, kérjük, hogy további részletek, valamint a részvétel megvalósítása kapcsán vegyék fel a kapcsolatot</w:t>
      </w:r>
      <w:r w:rsidRPr="00D827A0">
        <w:t xml:space="preserve"> </w:t>
      </w:r>
      <w:r>
        <w:t xml:space="preserve">Irodánkkal az alábbi elérhetőségek bármelyikén: </w:t>
      </w:r>
    </w:p>
    <w:p w14:paraId="4FC7FAC2" w14:textId="77777777" w:rsidR="00FE700E" w:rsidRDefault="00FE700E" w:rsidP="00FE700E">
      <w:pPr>
        <w:pStyle w:val="Listaszerbekezds"/>
        <w:numPr>
          <w:ilvl w:val="0"/>
          <w:numId w:val="3"/>
        </w:numPr>
        <w:jc w:val="both"/>
      </w:pPr>
      <w:r w:rsidRPr="00330B1A">
        <w:t xml:space="preserve">telefon: </w:t>
      </w:r>
      <w:r>
        <w:t>0039 02-4984731 (Dániel Paschek külgazdasági attasé)</w:t>
      </w:r>
    </w:p>
    <w:p w14:paraId="45EBC1D6" w14:textId="77777777" w:rsidR="00FE700E" w:rsidRPr="00330B1A" w:rsidRDefault="00FE700E" w:rsidP="00FE700E">
      <w:pPr>
        <w:pStyle w:val="Listaszerbekezds"/>
        <w:numPr>
          <w:ilvl w:val="0"/>
          <w:numId w:val="3"/>
        </w:numPr>
        <w:jc w:val="both"/>
        <w:rPr>
          <w:rStyle w:val="Hiperhivatkozs"/>
          <w:color w:val="auto"/>
          <w:u w:val="none"/>
        </w:rPr>
      </w:pPr>
      <w:r>
        <w:t xml:space="preserve">e-mail: </w:t>
      </w:r>
      <w:r w:rsidRPr="00330B1A">
        <w:rPr>
          <w:rStyle w:val="Hiperhivatkozs"/>
        </w:rPr>
        <w:t>trade.mil@mfa.gov.hu</w:t>
      </w:r>
      <w:r>
        <w:t xml:space="preserve">, </w:t>
      </w:r>
      <w:hyperlink r:id="rId7" w:history="1">
        <w:r w:rsidRPr="00E14285">
          <w:rPr>
            <w:rStyle w:val="Hiperhivatkozs"/>
          </w:rPr>
          <w:t>daniel.paschek@mfa.gov.hu</w:t>
        </w:r>
      </w:hyperlink>
    </w:p>
    <w:p w14:paraId="00781506" w14:textId="77777777" w:rsidR="00FE700E" w:rsidRDefault="00FE700E" w:rsidP="00FE700E">
      <w:pPr>
        <w:jc w:val="both"/>
      </w:pPr>
    </w:p>
    <w:p w14:paraId="19CB3856" w14:textId="77777777" w:rsidR="00FE700E" w:rsidRDefault="00FE700E" w:rsidP="00787B78">
      <w:pPr>
        <w:jc w:val="both"/>
      </w:pPr>
    </w:p>
    <w:sectPr w:rsidR="00FE7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63110"/>
    <w:multiLevelType w:val="hybridMultilevel"/>
    <w:tmpl w:val="FC6C46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F70BB"/>
    <w:multiLevelType w:val="hybridMultilevel"/>
    <w:tmpl w:val="F8BA79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7481B"/>
    <w:multiLevelType w:val="hybridMultilevel"/>
    <w:tmpl w:val="E1DC3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96396"/>
    <w:multiLevelType w:val="hybridMultilevel"/>
    <w:tmpl w:val="82CA1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B0FD1"/>
    <w:multiLevelType w:val="hybridMultilevel"/>
    <w:tmpl w:val="129C2C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337FC"/>
    <w:multiLevelType w:val="hybridMultilevel"/>
    <w:tmpl w:val="A29810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9642F"/>
    <w:multiLevelType w:val="hybridMultilevel"/>
    <w:tmpl w:val="5AFC0E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643460">
    <w:abstractNumId w:val="0"/>
  </w:num>
  <w:num w:numId="2" w16cid:durableId="1110977162">
    <w:abstractNumId w:val="5"/>
  </w:num>
  <w:num w:numId="3" w16cid:durableId="1992176857">
    <w:abstractNumId w:val="6"/>
  </w:num>
  <w:num w:numId="4" w16cid:durableId="2087221046">
    <w:abstractNumId w:val="4"/>
  </w:num>
  <w:num w:numId="5" w16cid:durableId="52506911">
    <w:abstractNumId w:val="3"/>
  </w:num>
  <w:num w:numId="6" w16cid:durableId="1865441847">
    <w:abstractNumId w:val="2"/>
  </w:num>
  <w:num w:numId="7" w16cid:durableId="2134013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582"/>
    <w:rsid w:val="00001D4F"/>
    <w:rsid w:val="0006081C"/>
    <w:rsid w:val="000A1ECF"/>
    <w:rsid w:val="00116581"/>
    <w:rsid w:val="00134939"/>
    <w:rsid w:val="001A2D54"/>
    <w:rsid w:val="001C0B1C"/>
    <w:rsid w:val="001C3639"/>
    <w:rsid w:val="00243CF1"/>
    <w:rsid w:val="00320658"/>
    <w:rsid w:val="00330B1A"/>
    <w:rsid w:val="00383E09"/>
    <w:rsid w:val="00387BA6"/>
    <w:rsid w:val="0039057E"/>
    <w:rsid w:val="00421F7D"/>
    <w:rsid w:val="00431DFA"/>
    <w:rsid w:val="0047740A"/>
    <w:rsid w:val="00481300"/>
    <w:rsid w:val="004B38B5"/>
    <w:rsid w:val="004C37F7"/>
    <w:rsid w:val="004D0B6E"/>
    <w:rsid w:val="004F6BD4"/>
    <w:rsid w:val="005B58CE"/>
    <w:rsid w:val="006156F7"/>
    <w:rsid w:val="006722A3"/>
    <w:rsid w:val="006B1BFB"/>
    <w:rsid w:val="007677B7"/>
    <w:rsid w:val="00787B78"/>
    <w:rsid w:val="007B5CF0"/>
    <w:rsid w:val="007C1D3D"/>
    <w:rsid w:val="00824144"/>
    <w:rsid w:val="008966AA"/>
    <w:rsid w:val="008A0E0B"/>
    <w:rsid w:val="008B54ED"/>
    <w:rsid w:val="008F7DC2"/>
    <w:rsid w:val="0091411B"/>
    <w:rsid w:val="009502D9"/>
    <w:rsid w:val="00950846"/>
    <w:rsid w:val="009528B9"/>
    <w:rsid w:val="009A49E3"/>
    <w:rsid w:val="00A2429F"/>
    <w:rsid w:val="00A3288E"/>
    <w:rsid w:val="00A5213A"/>
    <w:rsid w:val="00B06E29"/>
    <w:rsid w:val="00B30582"/>
    <w:rsid w:val="00B90B1A"/>
    <w:rsid w:val="00BC742C"/>
    <w:rsid w:val="00C604F8"/>
    <w:rsid w:val="00CD3F52"/>
    <w:rsid w:val="00CD66B6"/>
    <w:rsid w:val="00D16420"/>
    <w:rsid w:val="00D827A0"/>
    <w:rsid w:val="00DE6423"/>
    <w:rsid w:val="00E16998"/>
    <w:rsid w:val="00E45CE5"/>
    <w:rsid w:val="00E67639"/>
    <w:rsid w:val="00E71819"/>
    <w:rsid w:val="00EF15FF"/>
    <w:rsid w:val="00F121AA"/>
    <w:rsid w:val="00F476FE"/>
    <w:rsid w:val="00F609B8"/>
    <w:rsid w:val="00F66C8F"/>
    <w:rsid w:val="00FA67AD"/>
    <w:rsid w:val="00FB4F3E"/>
    <w:rsid w:val="00FE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26BE"/>
  <w15:chartTrackingRefBased/>
  <w15:docId w15:val="{C5142A82-C1A3-450C-A072-38D7F071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30582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30582"/>
    <w:pPr>
      <w:ind w:left="720"/>
    </w:pPr>
  </w:style>
  <w:style w:type="character" w:styleId="Hiperhivatkozs">
    <w:name w:val="Hyperlink"/>
    <w:basedOn w:val="Bekezdsalapbettpusa"/>
    <w:uiPriority w:val="99"/>
    <w:unhideWhenUsed/>
    <w:rsid w:val="00134939"/>
    <w:rPr>
      <w:color w:val="0563C1"/>
      <w:u w:val="single"/>
    </w:rPr>
  </w:style>
  <w:style w:type="character" w:styleId="Kiemels">
    <w:name w:val="Emphasis"/>
    <w:basedOn w:val="Bekezdsalapbettpusa"/>
    <w:uiPriority w:val="20"/>
    <w:qFormat/>
    <w:rsid w:val="00001D4F"/>
    <w:rPr>
      <w:i/>
      <w:iCs/>
    </w:rPr>
  </w:style>
  <w:style w:type="character" w:styleId="Kiemels2">
    <w:name w:val="Strong"/>
    <w:basedOn w:val="Bekezdsalapbettpusa"/>
    <w:uiPriority w:val="22"/>
    <w:qFormat/>
    <w:rsid w:val="00001D4F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A5213A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D16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iel.paschek@mfa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i.senaf.it/preview-espositori.php?ide=1208" TargetMode="External"/><Relationship Id="rId5" Type="http://schemas.openxmlformats.org/officeDocument/2006/relationships/hyperlink" Target="https://www.cosmofarma.com/e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Ministry of Foreign Affairs and Trade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 Edit - MIL</dc:creator>
  <cp:keywords/>
  <dc:description/>
  <cp:lastModifiedBy>Gyakornok ÜFSZ</cp:lastModifiedBy>
  <cp:revision>2</cp:revision>
  <dcterms:created xsi:type="dcterms:W3CDTF">2024-01-18T13:51:00Z</dcterms:created>
  <dcterms:modified xsi:type="dcterms:W3CDTF">2024-01-18T13:51:00Z</dcterms:modified>
</cp:coreProperties>
</file>